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676767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676767"/>
          <w:spacing w:val="0"/>
          <w:sz w:val="43"/>
          <w:szCs w:val="43"/>
          <w:shd w:val="clear" w:fill="FFFFFF"/>
          <w:lang w:eastAsia="zh-CN"/>
        </w:rPr>
        <w:t>三亚</w:t>
      </w:r>
      <w:r>
        <w:rPr>
          <w:rFonts w:ascii="方正小标宋简体" w:hAnsi="方正小标宋简体" w:eastAsia="方正小标宋简体" w:cs="方正小标宋简体"/>
          <w:i w:val="0"/>
          <w:caps w:val="0"/>
          <w:color w:val="676767"/>
          <w:spacing w:val="0"/>
          <w:sz w:val="43"/>
          <w:szCs w:val="43"/>
          <w:shd w:val="clear" w:fill="FFFFFF"/>
        </w:rPr>
        <w:t>教育基金会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676767"/>
          <w:spacing w:val="0"/>
          <w:sz w:val="43"/>
          <w:szCs w:val="43"/>
          <w:shd w:val="clear" w:fill="FFFFFF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676767"/>
          <w:spacing w:val="0"/>
          <w:sz w:val="43"/>
          <w:szCs w:val="43"/>
          <w:shd w:val="clear" w:fill="FFFFFF"/>
        </w:rPr>
        <w:t>年财务工作报告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2021年,三亚教育基金会在省民政厅、市教育局的领导下，在各位理事、监事的大力支持监督下，遵照《基金会管理条例》、《民间非营利组织会计制度》《三亚教育基金会章程》以及民政部《关于规范基金会行为的若干规定（试行）》等相关法律法规，坚持依法筹资，不断完善财务管理及项目管理，自觉接受社会监督，做到捐款来源合法有效、资金开支规范有序，有力维护捐赠人的合法权益，推动了本会捐赠事业的顺利开展。现将2021年财务工作报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（一）资产概况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截止2021年末，基金会资产总额9309.26万元，其中：流动资产9307.77万元，占总资产 99.98%。固定资产净值1.49万元，本会固定资产原值5.29万元。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二、2021年财务收支情况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（一）收入情况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截止2021年12月31日，全年总收入47.96万元。其中：捐赠收入8.12万元，其他收入39.84万元（利息收入）。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支出情况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截止2021年12月31日，三亚教育基金会各项支出3453.70万元。其中：开展公益活动支出3421.15万元，占当年总支出的99%；管理费用32.55万元，占当年总支出的1%。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20" w:firstLineChars="200"/>
        <w:jc w:val="both"/>
        <w:textAlignment w:val="auto"/>
        <w:outlineLvl w:val="9"/>
        <w:rPr>
          <w:rFonts w:ascii="微软雅黑" w:hAnsi="微软雅黑" w:eastAsia="微软雅黑" w:cs="微软雅黑"/>
          <w:i w:val="0"/>
          <w:caps w:val="0"/>
          <w:color w:val="676767"/>
          <w:spacing w:val="0"/>
          <w:sz w:val="21"/>
          <w:szCs w:val="21"/>
        </w:rPr>
      </w:pPr>
      <w:r>
        <w:rPr>
          <w:rFonts w:ascii="仿宋" w:hAnsi="仿宋" w:eastAsia="仿宋" w:cs="仿宋"/>
          <w:b/>
          <w:i w:val="0"/>
          <w:caps w:val="0"/>
          <w:color w:val="000000"/>
          <w:spacing w:val="0"/>
          <w:sz w:val="31"/>
          <w:szCs w:val="31"/>
          <w:shd w:val="clear" w:fill="FFFFFF"/>
        </w:rPr>
        <w:t>三、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2022</w:t>
      </w:r>
      <w:bookmarkStart w:id="0" w:name="_GoBack"/>
      <w:bookmarkEnd w:id="0"/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1"/>
          <w:szCs w:val="31"/>
          <w:shd w:val="clear" w:fill="FFFFFF"/>
        </w:rPr>
        <w:t>年预算安排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676767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1"/>
          <w:szCs w:val="31"/>
          <w:shd w:val="clear" w:fill="FFFFFF"/>
        </w:rPr>
        <w:t>（一）支出预算安排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2022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年计划安排不低于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4000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万元，用于奖教奖学、资助贫困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学生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支持合作办学，支持培优工作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等活动。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20" w:firstLineChars="200"/>
        <w:jc w:val="both"/>
        <w:textAlignment w:val="auto"/>
        <w:outlineLvl w:val="9"/>
        <w:rPr>
          <w:rFonts w:ascii="微软雅黑" w:hAnsi="微软雅黑" w:eastAsia="微软雅黑" w:cs="微软雅黑"/>
          <w:i w:val="0"/>
          <w:caps w:val="0"/>
          <w:color w:val="676767"/>
          <w:spacing w:val="0"/>
          <w:sz w:val="21"/>
          <w:szCs w:val="21"/>
        </w:rPr>
      </w:pPr>
      <w:r>
        <w:rPr>
          <w:rFonts w:ascii="仿宋" w:hAnsi="仿宋" w:eastAsia="仿宋" w:cs="仿宋"/>
          <w:b/>
          <w:i w:val="0"/>
          <w:caps w:val="0"/>
          <w:color w:val="000000"/>
          <w:spacing w:val="0"/>
          <w:sz w:val="31"/>
          <w:szCs w:val="31"/>
          <w:shd w:val="clear" w:fill="FFFFFF"/>
        </w:rPr>
        <w:t>四、财务管理工作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676767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（一）本年基金会财务管理工作继续坚持依法筹资、规范管理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（二）完善项目管理，严格开支审批，规范会计核算，保证项目执行合法性、合规性、合理性。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五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 xml:space="preserve"> 存在问题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由于基金会这几年未开展募捐活动，基金会资金收支存在严重不平衡，需合理控制支出。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六 下一步工作安排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争取外出培训学习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展开下一轮募捐工作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55894453">
    <w:nsid w:val="62B2F1B5"/>
    <w:multiLevelType w:val="singleLevel"/>
    <w:tmpl w:val="62B2F1B5"/>
    <w:lvl w:ilvl="0" w:tentative="1">
      <w:start w:val="2"/>
      <w:numFmt w:val="chineseCounting"/>
      <w:suff w:val="nothing"/>
      <w:lvlText w:val="（%1）"/>
      <w:lvlJc w:val="left"/>
    </w:lvl>
  </w:abstractNum>
  <w:abstractNum w:abstractNumId="1656904406">
    <w:nsid w:val="62C25AD6"/>
    <w:multiLevelType w:val="singleLevel"/>
    <w:tmpl w:val="62C25AD6"/>
    <w:lvl w:ilvl="0" w:tentative="1">
      <w:start w:val="1"/>
      <w:numFmt w:val="chineseCounting"/>
      <w:suff w:val="nothing"/>
      <w:lvlText w:val="（%1）"/>
      <w:lvlJc w:val="left"/>
    </w:lvl>
  </w:abstractNum>
  <w:num w:numId="1">
    <w:abstractNumId w:val="1655894453"/>
  </w:num>
  <w:num w:numId="2">
    <w:abstractNumId w:val="165690440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047F8"/>
    <w:rsid w:val="15B95D00"/>
    <w:rsid w:val="288102C9"/>
    <w:rsid w:val="3087776A"/>
    <w:rsid w:val="5A4272F3"/>
    <w:rsid w:val="77467BD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99</dc:creator>
  <cp:lastModifiedBy>胡烜</cp:lastModifiedBy>
  <dcterms:modified xsi:type="dcterms:W3CDTF">2022-07-04T03:01:07Z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